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7253" w14:textId="77777777" w:rsidR="00E75493" w:rsidRDefault="00E75493" w:rsidP="00E75493">
      <w:pPr>
        <w:pStyle w:val="BodyText"/>
        <w:spacing w:before="5"/>
        <w:rPr>
          <w:rFonts w:ascii="Calibri"/>
          <w:b/>
          <w:sz w:val="17"/>
        </w:rPr>
      </w:pPr>
    </w:p>
    <w:p w14:paraId="454CC1A1" w14:textId="77777777" w:rsidR="00E75493" w:rsidRPr="00FD72B6" w:rsidRDefault="00E75493" w:rsidP="00E75493">
      <w:pPr>
        <w:pStyle w:val="BodyText"/>
        <w:spacing w:before="91"/>
        <w:ind w:right="1501"/>
        <w:jc w:val="right"/>
        <w:rPr>
          <w:color w:val="0070C0"/>
          <w:u w:val="single"/>
        </w:rPr>
      </w:pPr>
      <w:r w:rsidRPr="00FD72B6">
        <w:rPr>
          <w:color w:val="0070C0"/>
          <w:u w:val="single"/>
        </w:rPr>
        <w:t>DATE</w:t>
      </w:r>
    </w:p>
    <w:p w14:paraId="2CAD117C" w14:textId="77777777" w:rsidR="00E75493" w:rsidRDefault="00E75493" w:rsidP="00E75493">
      <w:pPr>
        <w:pStyle w:val="BodyText"/>
        <w:ind w:left="580"/>
      </w:pPr>
      <w:r>
        <w:t xml:space="preserve">MEMORANDUM FOR </w:t>
      </w:r>
      <w:r w:rsidRPr="00FD72B6">
        <w:rPr>
          <w:color w:val="0070C0"/>
          <w:u w:val="single"/>
        </w:rPr>
        <w:t>CONTRACTOR’S NAME</w:t>
      </w:r>
      <w:r>
        <w:t xml:space="preserve"> </w:t>
      </w:r>
    </w:p>
    <w:p w14:paraId="06848D47" w14:textId="77777777" w:rsidR="00E75493" w:rsidRDefault="00E75493" w:rsidP="00E75493">
      <w:pPr>
        <w:pStyle w:val="BodyText"/>
        <w:spacing w:before="8"/>
        <w:rPr>
          <w:sz w:val="21"/>
        </w:rPr>
      </w:pPr>
    </w:p>
    <w:p w14:paraId="18C3E06D" w14:textId="0506C2B2" w:rsidR="00E75493" w:rsidRDefault="00E75493" w:rsidP="009014F2">
      <w:pPr>
        <w:pStyle w:val="BodyText"/>
        <w:ind w:left="580"/>
      </w:pPr>
      <w:r>
        <w:t xml:space="preserve">FROM:  </w:t>
      </w:r>
    </w:p>
    <w:p w14:paraId="2D85877F" w14:textId="77777777" w:rsidR="00E75493" w:rsidRDefault="00E75493" w:rsidP="00E75493">
      <w:pPr>
        <w:pStyle w:val="BodyText"/>
        <w:spacing w:before="5"/>
        <w:rPr>
          <w:sz w:val="13"/>
        </w:rPr>
      </w:pPr>
    </w:p>
    <w:p w14:paraId="76ABDB11" w14:textId="77777777" w:rsidR="00E75493" w:rsidRDefault="00E75493" w:rsidP="00E75493">
      <w:pPr>
        <w:pStyle w:val="BodyText"/>
        <w:spacing w:before="93"/>
        <w:ind w:left="580" w:right="1110"/>
      </w:pPr>
      <w:r>
        <w:t xml:space="preserve">SUBJECT: Notice of Unsuccessful Offer for Solicitation </w:t>
      </w:r>
      <w:r w:rsidRPr="00FD72B6">
        <w:rPr>
          <w:color w:val="0070C0"/>
          <w:u w:val="single"/>
        </w:rPr>
        <w:t>CONTRACT</w:t>
      </w:r>
      <w:r>
        <w:rPr>
          <w:color w:val="0070C0"/>
          <w:u w:val="single"/>
        </w:rPr>
        <w:t xml:space="preserve">#, </w:t>
      </w:r>
      <w:r w:rsidRPr="00FD72B6">
        <w:rPr>
          <w:color w:val="0070C0"/>
          <w:u w:val="single"/>
        </w:rPr>
        <w:t>NAME</w:t>
      </w:r>
      <w:r>
        <w:rPr>
          <w:color w:val="0070C0"/>
          <w:u w:val="single"/>
        </w:rPr>
        <w:t xml:space="preserve"> OF THE REQUIREMENT</w:t>
      </w:r>
    </w:p>
    <w:p w14:paraId="3A000367" w14:textId="77777777" w:rsidR="00E75493" w:rsidRDefault="00E75493" w:rsidP="00E75493">
      <w:pPr>
        <w:pStyle w:val="BodyText"/>
        <w:spacing w:before="11"/>
        <w:rPr>
          <w:sz w:val="21"/>
        </w:rPr>
      </w:pPr>
    </w:p>
    <w:p w14:paraId="2D8F535F" w14:textId="77777777" w:rsidR="00E75493" w:rsidRDefault="00E75493" w:rsidP="00E75493">
      <w:pPr>
        <w:pStyle w:val="ListParagraph"/>
        <w:numPr>
          <w:ilvl w:val="0"/>
          <w:numId w:val="3"/>
        </w:numPr>
        <w:tabs>
          <w:tab w:val="left" w:pos="856"/>
        </w:tabs>
        <w:ind w:right="114" w:firstLine="0"/>
        <w:jc w:val="left"/>
      </w:pPr>
      <w:r>
        <w:t xml:space="preserve">The Government received five proposals in response to the subject requirement. The Government evaluated proposals in accordance with the Solicitation Task Order Request for Proposals and Evaluation Criteria. As a result of this evaluation, contract </w:t>
      </w:r>
      <w:proofErr w:type="spellStart"/>
      <w:r w:rsidRPr="00FD72B6">
        <w:rPr>
          <w:color w:val="0070C0"/>
          <w:u w:val="single"/>
        </w:rPr>
        <w:t>CONTRACT</w:t>
      </w:r>
      <w:proofErr w:type="spellEnd"/>
      <w:r>
        <w:rPr>
          <w:color w:val="0070C0"/>
          <w:u w:val="single"/>
        </w:rPr>
        <w:t>#</w:t>
      </w:r>
      <w:r>
        <w:t xml:space="preserve">, has been awarded to </w:t>
      </w:r>
      <w:r w:rsidRPr="00FD72B6">
        <w:rPr>
          <w:color w:val="0070C0"/>
          <w:u w:val="single"/>
        </w:rPr>
        <w:t>AWARDEE #</w:t>
      </w:r>
      <w:r>
        <w:t>, in the amount</w:t>
      </w:r>
      <w:r>
        <w:rPr>
          <w:spacing w:val="-22"/>
        </w:rPr>
        <w:t xml:space="preserve"> </w:t>
      </w:r>
      <w:r>
        <w:t>of</w:t>
      </w:r>
    </w:p>
    <w:p w14:paraId="6E7E2BE4" w14:textId="77777777" w:rsidR="00E75493" w:rsidRDefault="00E75493" w:rsidP="00E75493">
      <w:pPr>
        <w:pStyle w:val="BodyText"/>
        <w:spacing w:line="252" w:lineRule="exact"/>
        <w:ind w:left="580"/>
      </w:pPr>
      <w:r>
        <w:rPr>
          <w:b/>
          <w:color w:val="0070C0"/>
        </w:rPr>
        <w:t>TOEP AWARD</w:t>
      </w:r>
      <w:r>
        <w:rPr>
          <w:b/>
        </w:rPr>
        <w:t xml:space="preserve">, </w:t>
      </w:r>
      <w:r>
        <w:t>for a transition period, base year + # option years, and a six- month extension period.</w:t>
      </w:r>
    </w:p>
    <w:p w14:paraId="7966B57F" w14:textId="77777777" w:rsidR="00E75493" w:rsidRDefault="00E75493" w:rsidP="00E75493">
      <w:pPr>
        <w:pStyle w:val="BodyText"/>
      </w:pPr>
    </w:p>
    <w:p w14:paraId="744DCA16" w14:textId="77777777" w:rsidR="00E75493" w:rsidRDefault="00E75493" w:rsidP="00E75493">
      <w:pPr>
        <w:pStyle w:val="ListParagraph"/>
        <w:numPr>
          <w:ilvl w:val="0"/>
          <w:numId w:val="3"/>
        </w:numPr>
        <w:tabs>
          <w:tab w:val="left" w:pos="801"/>
        </w:tabs>
        <w:spacing w:before="1"/>
        <w:ind w:right="1046" w:firstLine="0"/>
        <w:jc w:val="left"/>
      </w:pPr>
      <w:r w:rsidRPr="00FD72B6">
        <w:rPr>
          <w:color w:val="0070C0"/>
          <w:u w:val="single"/>
        </w:rPr>
        <w:t>AWARDEE’s NAME</w:t>
      </w:r>
      <w:r>
        <w:t xml:space="preserve"> proposal represented the best value to the Government. In accordance with the evaluation criteria stated in the solicitation, an integrated assessment of technical and price resulted in the Government’s award decision and a trade-off for technical over price, consistent with the evaluation criteria.</w:t>
      </w:r>
    </w:p>
    <w:p w14:paraId="674E9F0F" w14:textId="77777777" w:rsidR="00E75493" w:rsidRDefault="00E75493" w:rsidP="00E75493">
      <w:pPr>
        <w:pStyle w:val="BodyText"/>
        <w:spacing w:before="7"/>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80"/>
        <w:gridCol w:w="1891"/>
        <w:gridCol w:w="1889"/>
        <w:gridCol w:w="1980"/>
      </w:tblGrid>
      <w:tr w:rsidR="00E75493" w14:paraId="0F29E220" w14:textId="77777777" w:rsidTr="00F0676A">
        <w:trPr>
          <w:trHeight w:hRule="exact" w:val="530"/>
        </w:trPr>
        <w:tc>
          <w:tcPr>
            <w:tcW w:w="1795" w:type="dxa"/>
            <w:shd w:val="clear" w:color="auto" w:fill="C0C0C0"/>
          </w:tcPr>
          <w:p w14:paraId="4E38E009" w14:textId="77777777" w:rsidR="00E75493" w:rsidRDefault="00E75493" w:rsidP="00F0676A">
            <w:pPr>
              <w:pStyle w:val="TableParagraph"/>
              <w:spacing w:before="2"/>
              <w:jc w:val="left"/>
              <w:rPr>
                <w:sz w:val="23"/>
              </w:rPr>
            </w:pPr>
          </w:p>
          <w:p w14:paraId="76F78E16" w14:textId="77777777" w:rsidR="00E75493" w:rsidRDefault="00E75493" w:rsidP="00F0676A">
            <w:pPr>
              <w:pStyle w:val="TableParagraph"/>
              <w:spacing w:before="1"/>
              <w:ind w:left="355"/>
              <w:jc w:val="left"/>
              <w:rPr>
                <w:b/>
              </w:rPr>
            </w:pPr>
            <w:r>
              <w:rPr>
                <w:b/>
              </w:rPr>
              <w:t>OFFEROR</w:t>
            </w:r>
          </w:p>
        </w:tc>
        <w:tc>
          <w:tcPr>
            <w:tcW w:w="1980" w:type="dxa"/>
            <w:shd w:val="clear" w:color="auto" w:fill="C0C0C0"/>
          </w:tcPr>
          <w:p w14:paraId="1212D383" w14:textId="77777777" w:rsidR="00E75493" w:rsidRDefault="00E75493" w:rsidP="00F0676A">
            <w:pPr>
              <w:pStyle w:val="TableParagraph"/>
              <w:spacing w:before="2"/>
              <w:jc w:val="left"/>
              <w:rPr>
                <w:sz w:val="23"/>
              </w:rPr>
            </w:pPr>
          </w:p>
          <w:p w14:paraId="77490341" w14:textId="77777777" w:rsidR="00E75493" w:rsidRDefault="00E75493" w:rsidP="00F0676A">
            <w:pPr>
              <w:pStyle w:val="TableParagraph"/>
              <w:spacing w:before="1"/>
              <w:ind w:left="210" w:right="210"/>
              <w:rPr>
                <w:b/>
              </w:rPr>
            </w:pPr>
            <w:r>
              <w:rPr>
                <w:b/>
              </w:rPr>
              <w:t>Sub-Factor 1</w:t>
            </w:r>
          </w:p>
        </w:tc>
        <w:tc>
          <w:tcPr>
            <w:tcW w:w="1891" w:type="dxa"/>
            <w:shd w:val="clear" w:color="auto" w:fill="C0C0C0"/>
          </w:tcPr>
          <w:p w14:paraId="470EDD6F" w14:textId="77777777" w:rsidR="00E75493" w:rsidRDefault="00E75493" w:rsidP="00F0676A">
            <w:pPr>
              <w:pStyle w:val="TableParagraph"/>
              <w:spacing w:before="2"/>
              <w:jc w:val="left"/>
              <w:rPr>
                <w:sz w:val="23"/>
              </w:rPr>
            </w:pPr>
          </w:p>
          <w:p w14:paraId="2051B8E1" w14:textId="77777777" w:rsidR="00E75493" w:rsidRDefault="00E75493" w:rsidP="00F0676A">
            <w:pPr>
              <w:pStyle w:val="TableParagraph"/>
              <w:spacing w:before="1"/>
              <w:ind w:left="187" w:right="185"/>
              <w:rPr>
                <w:b/>
              </w:rPr>
            </w:pPr>
            <w:r>
              <w:rPr>
                <w:b/>
              </w:rPr>
              <w:t>Sub-Factor 2</w:t>
            </w:r>
          </w:p>
        </w:tc>
        <w:tc>
          <w:tcPr>
            <w:tcW w:w="1889" w:type="dxa"/>
            <w:shd w:val="clear" w:color="auto" w:fill="C0C0C0"/>
          </w:tcPr>
          <w:p w14:paraId="7A2E4323" w14:textId="77777777" w:rsidR="00E75493" w:rsidRDefault="00E75493" w:rsidP="00F0676A">
            <w:pPr>
              <w:pStyle w:val="TableParagraph"/>
              <w:spacing w:before="2"/>
              <w:jc w:val="left"/>
              <w:rPr>
                <w:sz w:val="23"/>
              </w:rPr>
            </w:pPr>
          </w:p>
          <w:p w14:paraId="5BD286C8" w14:textId="77777777" w:rsidR="00E75493" w:rsidRDefault="00E75493" w:rsidP="00F0676A">
            <w:pPr>
              <w:pStyle w:val="TableParagraph"/>
              <w:spacing w:before="1"/>
              <w:ind w:left="186" w:right="186"/>
              <w:rPr>
                <w:b/>
              </w:rPr>
            </w:pPr>
            <w:r>
              <w:rPr>
                <w:b/>
              </w:rPr>
              <w:t>Sub-Factor 3</w:t>
            </w:r>
          </w:p>
        </w:tc>
        <w:tc>
          <w:tcPr>
            <w:tcW w:w="1980" w:type="dxa"/>
            <w:shd w:val="clear" w:color="auto" w:fill="C0C0C0"/>
          </w:tcPr>
          <w:p w14:paraId="3689843E" w14:textId="77777777" w:rsidR="00E75493" w:rsidRDefault="00E75493" w:rsidP="00F0676A">
            <w:pPr>
              <w:pStyle w:val="TableParagraph"/>
              <w:spacing w:before="2"/>
              <w:jc w:val="left"/>
              <w:rPr>
                <w:sz w:val="23"/>
              </w:rPr>
            </w:pPr>
          </w:p>
          <w:p w14:paraId="54A31357" w14:textId="77777777" w:rsidR="00E75493" w:rsidRDefault="00E75493" w:rsidP="00F0676A">
            <w:pPr>
              <w:pStyle w:val="TableParagraph"/>
              <w:spacing w:before="1"/>
              <w:ind w:left="211" w:right="207"/>
              <w:rPr>
                <w:b/>
              </w:rPr>
            </w:pPr>
            <w:r>
              <w:rPr>
                <w:b/>
              </w:rPr>
              <w:t>Price</w:t>
            </w:r>
          </w:p>
        </w:tc>
      </w:tr>
      <w:tr w:rsidR="00E75493" w14:paraId="0E3B9E31" w14:textId="77777777" w:rsidTr="00F0676A">
        <w:trPr>
          <w:trHeight w:hRule="exact" w:val="278"/>
        </w:trPr>
        <w:tc>
          <w:tcPr>
            <w:tcW w:w="1795" w:type="dxa"/>
          </w:tcPr>
          <w:p w14:paraId="54D4A038" w14:textId="77777777" w:rsidR="00E75493" w:rsidRPr="00FD72B6" w:rsidRDefault="00E75493" w:rsidP="00F0676A">
            <w:pPr>
              <w:pStyle w:val="TableParagraph"/>
              <w:spacing w:before="13"/>
              <w:ind w:left="93"/>
              <w:jc w:val="left"/>
              <w:rPr>
                <w:b/>
                <w:color w:val="0070C0"/>
              </w:rPr>
            </w:pPr>
            <w:r w:rsidRPr="00FD72B6">
              <w:rPr>
                <w:b/>
                <w:color w:val="0070C0"/>
                <w:sz w:val="16"/>
                <w:szCs w:val="16"/>
              </w:rPr>
              <w:t>AWARDEE NAME</w:t>
            </w:r>
          </w:p>
        </w:tc>
        <w:tc>
          <w:tcPr>
            <w:tcW w:w="1980" w:type="dxa"/>
          </w:tcPr>
          <w:p w14:paraId="7C135FD4" w14:textId="77777777" w:rsidR="00E75493" w:rsidRDefault="00E75493" w:rsidP="00F0676A">
            <w:pPr>
              <w:pStyle w:val="TableParagraph"/>
              <w:ind w:left="211" w:right="210"/>
            </w:pPr>
            <w:r>
              <w:t>Good</w:t>
            </w:r>
            <w:r>
              <w:rPr>
                <w:spacing w:val="54"/>
              </w:rPr>
              <w:t xml:space="preserve"> </w:t>
            </w:r>
            <w:r>
              <w:t>(4.5)</w:t>
            </w:r>
          </w:p>
        </w:tc>
        <w:tc>
          <w:tcPr>
            <w:tcW w:w="1891" w:type="dxa"/>
          </w:tcPr>
          <w:p w14:paraId="0E503FE7" w14:textId="77777777" w:rsidR="00E75493" w:rsidRDefault="00E75493" w:rsidP="00F0676A">
            <w:pPr>
              <w:pStyle w:val="TableParagraph"/>
              <w:ind w:left="188" w:right="185"/>
            </w:pPr>
            <w:r>
              <w:t>Acceptable (3.7)</w:t>
            </w:r>
          </w:p>
        </w:tc>
        <w:tc>
          <w:tcPr>
            <w:tcW w:w="1889" w:type="dxa"/>
          </w:tcPr>
          <w:p w14:paraId="37B04C5F" w14:textId="77777777" w:rsidR="00E75493" w:rsidRDefault="00E75493" w:rsidP="00F0676A">
            <w:pPr>
              <w:pStyle w:val="TableParagraph"/>
              <w:ind w:left="187" w:right="186"/>
            </w:pPr>
            <w:r>
              <w:t>Acceptable (3.3)</w:t>
            </w:r>
          </w:p>
        </w:tc>
        <w:tc>
          <w:tcPr>
            <w:tcW w:w="1980" w:type="dxa"/>
          </w:tcPr>
          <w:p w14:paraId="016EAEFC" w14:textId="6F67E214" w:rsidR="00E75493" w:rsidRDefault="00E75493" w:rsidP="00F0676A">
            <w:pPr>
              <w:pStyle w:val="TableParagraph"/>
              <w:ind w:left="211" w:right="204"/>
            </w:pPr>
          </w:p>
        </w:tc>
      </w:tr>
      <w:tr w:rsidR="00E75493" w14:paraId="36E1877C" w14:textId="77777777" w:rsidTr="00F0676A">
        <w:trPr>
          <w:trHeight w:hRule="exact" w:val="278"/>
        </w:trPr>
        <w:tc>
          <w:tcPr>
            <w:tcW w:w="1795" w:type="dxa"/>
          </w:tcPr>
          <w:p w14:paraId="20306A76" w14:textId="77777777" w:rsidR="00E75493" w:rsidRPr="00FD72B6" w:rsidRDefault="00E75493" w:rsidP="00F0676A">
            <w:pPr>
              <w:pStyle w:val="TableParagraph"/>
              <w:spacing w:before="13"/>
              <w:ind w:left="93"/>
              <w:jc w:val="left"/>
              <w:rPr>
                <w:b/>
                <w:color w:val="0070C0"/>
                <w:sz w:val="16"/>
                <w:szCs w:val="16"/>
              </w:rPr>
            </w:pPr>
            <w:r>
              <w:rPr>
                <w:b/>
                <w:color w:val="0070C0"/>
                <w:sz w:val="16"/>
                <w:szCs w:val="16"/>
              </w:rPr>
              <w:t>OFFEROR’S NAME</w:t>
            </w:r>
          </w:p>
        </w:tc>
        <w:tc>
          <w:tcPr>
            <w:tcW w:w="1980" w:type="dxa"/>
          </w:tcPr>
          <w:p w14:paraId="7C70F9BB" w14:textId="77777777" w:rsidR="00E75493" w:rsidRDefault="00E75493" w:rsidP="00F0676A">
            <w:pPr>
              <w:pStyle w:val="TableParagraph"/>
              <w:ind w:left="211" w:right="210"/>
            </w:pPr>
            <w:r>
              <w:t>Unacceptable (0)</w:t>
            </w:r>
          </w:p>
        </w:tc>
        <w:tc>
          <w:tcPr>
            <w:tcW w:w="1891" w:type="dxa"/>
          </w:tcPr>
          <w:p w14:paraId="152980B9" w14:textId="77777777" w:rsidR="00E75493" w:rsidRDefault="00E75493" w:rsidP="00F0676A">
            <w:pPr>
              <w:pStyle w:val="TableParagraph"/>
              <w:ind w:left="189" w:right="185"/>
            </w:pPr>
            <w:r>
              <w:t>Acceptable (3.0)</w:t>
            </w:r>
          </w:p>
        </w:tc>
        <w:tc>
          <w:tcPr>
            <w:tcW w:w="1889" w:type="dxa"/>
          </w:tcPr>
          <w:p w14:paraId="743BE5C9" w14:textId="77777777" w:rsidR="00E75493" w:rsidRDefault="00E75493" w:rsidP="00F0676A">
            <w:pPr>
              <w:pStyle w:val="TableParagraph"/>
              <w:ind w:left="187" w:right="186"/>
            </w:pPr>
            <w:r>
              <w:t>Acceptable (3.0)</w:t>
            </w:r>
          </w:p>
        </w:tc>
        <w:tc>
          <w:tcPr>
            <w:tcW w:w="1980" w:type="dxa"/>
          </w:tcPr>
          <w:p w14:paraId="38EB5325" w14:textId="77777777" w:rsidR="00E75493" w:rsidRDefault="00E75493" w:rsidP="00F0676A">
            <w:pPr>
              <w:pStyle w:val="TableParagraph"/>
              <w:ind w:left="211" w:right="204"/>
            </w:pPr>
            <w:r>
              <w:t>Not Evaluated</w:t>
            </w:r>
          </w:p>
        </w:tc>
      </w:tr>
    </w:tbl>
    <w:p w14:paraId="0517801C" w14:textId="77777777" w:rsidR="00E75493" w:rsidRDefault="00E75493" w:rsidP="00E75493">
      <w:pPr>
        <w:pStyle w:val="BodyText"/>
        <w:spacing w:before="4"/>
        <w:rPr>
          <w:sz w:val="21"/>
        </w:rPr>
      </w:pPr>
    </w:p>
    <w:p w14:paraId="719A6066" w14:textId="77777777" w:rsidR="00E75493" w:rsidRDefault="00E75493" w:rsidP="00E75493">
      <w:pPr>
        <w:pStyle w:val="ListParagraph"/>
        <w:numPr>
          <w:ilvl w:val="0"/>
          <w:numId w:val="3"/>
        </w:numPr>
        <w:tabs>
          <w:tab w:val="left" w:pos="856"/>
        </w:tabs>
        <w:ind w:left="856"/>
        <w:jc w:val="left"/>
      </w:pPr>
      <w:r>
        <w:t>Your final evaluation results are provided</w:t>
      </w:r>
      <w:r>
        <w:rPr>
          <w:spacing w:val="-15"/>
        </w:rPr>
        <w:t xml:space="preserve"> </w:t>
      </w:r>
      <w:r>
        <w:t>below.</w:t>
      </w:r>
    </w:p>
    <w:p w14:paraId="4A712C07" w14:textId="77777777" w:rsidR="00E75493" w:rsidRDefault="00E75493" w:rsidP="00E75493">
      <w:pPr>
        <w:pStyle w:val="BodyText"/>
        <w:spacing w:before="4"/>
      </w:pPr>
    </w:p>
    <w:p w14:paraId="72B2F5DC" w14:textId="77777777" w:rsidR="00E75493" w:rsidRDefault="00E75493" w:rsidP="00E75493">
      <w:pPr>
        <w:pStyle w:val="Heading2"/>
        <w:spacing w:before="1" w:line="250" w:lineRule="exact"/>
        <w:ind w:left="580"/>
      </w:pPr>
      <w:r>
        <w:t>Factor 1: Technical</w:t>
      </w:r>
    </w:p>
    <w:p w14:paraId="568EF9A6" w14:textId="77777777" w:rsidR="00E75493" w:rsidRDefault="00E75493" w:rsidP="00E75493">
      <w:pPr>
        <w:pStyle w:val="BodyText"/>
        <w:spacing w:line="250" w:lineRule="exact"/>
        <w:ind w:left="580"/>
      </w:pPr>
      <w:r>
        <w:rPr>
          <w:u w:val="single"/>
        </w:rPr>
        <w:t>Sub-Factor 1 – Mission Scenario- Unacceptable (0.0)</w:t>
      </w:r>
    </w:p>
    <w:p w14:paraId="460C318B" w14:textId="77777777" w:rsidR="00E75493" w:rsidRDefault="00E75493" w:rsidP="00E75493">
      <w:pPr>
        <w:pStyle w:val="BodyText"/>
        <w:rPr>
          <w:sz w:val="14"/>
        </w:rPr>
      </w:pPr>
    </w:p>
    <w:p w14:paraId="5CD56BF9" w14:textId="54F29943" w:rsidR="00E75493" w:rsidRDefault="00E75493" w:rsidP="00E75493">
      <w:pPr>
        <w:pStyle w:val="BodyText"/>
        <w:spacing w:before="92"/>
        <w:ind w:left="579" w:right="516"/>
      </w:pPr>
      <w:commentRangeStart w:id="0"/>
      <w:r>
        <w:t>Criteria 1 (Score: 3.0)</w:t>
      </w:r>
      <w:commentRangeEnd w:id="0"/>
      <w:r w:rsidR="00AD4F3E">
        <w:rPr>
          <w:rStyle w:val="CommentReference"/>
        </w:rPr>
        <w:commentReference w:id="0"/>
      </w:r>
      <w:r>
        <w:t xml:space="preserve">: </w:t>
      </w:r>
      <w:r w:rsidRPr="00E75493">
        <w:rPr>
          <w:color w:val="0070C0"/>
          <w:u w:val="single"/>
        </w:rPr>
        <w:t>OFFEROR’S NAME</w:t>
      </w:r>
      <w:r>
        <w:t xml:space="preserve"> proposal provided an adequate approach and understanding of the PWS requirements for </w:t>
      </w:r>
      <w:proofErr w:type="gramStart"/>
      <w:r>
        <w:t>this criteria</w:t>
      </w:r>
      <w:proofErr w:type="gramEnd"/>
      <w:r>
        <w:t>. The proposal includes a high-level approach for integrating representative platform and characteristics into the existing AF architecture. OFFEROR’S NAME plan identifies a Department of Defense Architecture Framework (</w:t>
      </w:r>
      <w:proofErr w:type="spellStart"/>
      <w:r>
        <w:t>DoDAF</w:t>
      </w:r>
      <w:proofErr w:type="spellEnd"/>
      <w:r>
        <w:t>) based enterprise engineering process (Exhibit 5). Exhibit 6 captures top-level stakeholders and integration planning research factor. The proposal captures a top-level ISR data flows and addressed exploitation at multiple operational sites. These factors meet the government’s requirements.</w:t>
      </w:r>
    </w:p>
    <w:p w14:paraId="029C1E6E" w14:textId="77777777" w:rsidR="00E75493" w:rsidRDefault="00E75493" w:rsidP="00E75493">
      <w:pPr>
        <w:pStyle w:val="BodyText"/>
      </w:pPr>
    </w:p>
    <w:p w14:paraId="3A4815D0" w14:textId="425B1333" w:rsidR="00E75493" w:rsidRDefault="00E75493" w:rsidP="00E75493">
      <w:pPr>
        <w:pStyle w:val="ListParagraph"/>
        <w:numPr>
          <w:ilvl w:val="0"/>
          <w:numId w:val="2"/>
        </w:numPr>
        <w:tabs>
          <w:tab w:val="left" w:pos="767"/>
        </w:tabs>
        <w:ind w:right="739" w:firstLine="0"/>
      </w:pPr>
      <w:r>
        <w:t xml:space="preserve">Strengths: A strength captured is </w:t>
      </w:r>
      <w:r w:rsidRPr="00E75493">
        <w:rPr>
          <w:color w:val="0070C0"/>
          <w:u w:val="single"/>
        </w:rPr>
        <w:t>OFFEROR’S NAME</w:t>
      </w:r>
      <w:r>
        <w:t xml:space="preserve"> plan to modernize interfaces while remaining backward compatible with other ISR storage capabilities. The proposed solution states that it will ensure access to data before, during and after planned system upgrades. This is a benefit to government as it is not a requirement of the</w:t>
      </w:r>
      <w:r>
        <w:rPr>
          <w:spacing w:val="-11"/>
        </w:rPr>
        <w:t xml:space="preserve"> </w:t>
      </w:r>
      <w:r>
        <w:t>PWS.</w:t>
      </w:r>
    </w:p>
    <w:p w14:paraId="7A799AB6" w14:textId="77777777" w:rsidR="00E75493" w:rsidRDefault="00E75493" w:rsidP="00E75493">
      <w:pPr>
        <w:pStyle w:val="BodyText"/>
      </w:pPr>
    </w:p>
    <w:p w14:paraId="26313A45" w14:textId="77777777" w:rsidR="00E75493" w:rsidRDefault="00E75493" w:rsidP="00E75493">
      <w:pPr>
        <w:pStyle w:val="ListParagraph"/>
        <w:numPr>
          <w:ilvl w:val="0"/>
          <w:numId w:val="2"/>
        </w:numPr>
        <w:tabs>
          <w:tab w:val="left" w:pos="767"/>
        </w:tabs>
        <w:ind w:right="597" w:firstLine="0"/>
      </w:pPr>
      <w:r>
        <w:t>Weaknesses: Exhibit 4 in the proposal provides a top-level ISR data flow architecture; however, it lacks the in-depth technical details of a representative ISR architecture or associated components.</w:t>
      </w:r>
      <w:r>
        <w:rPr>
          <w:spacing w:val="-25"/>
        </w:rPr>
        <w:t xml:space="preserve"> </w:t>
      </w:r>
      <w:r>
        <w:t>Another</w:t>
      </w:r>
    </w:p>
    <w:p w14:paraId="7B65F048" w14:textId="77777777" w:rsidR="00E75493" w:rsidRDefault="00E75493" w:rsidP="00E75493">
      <w:pPr>
        <w:jc w:val="center"/>
        <w:rPr>
          <w:rFonts w:ascii="Brush Script MT"/>
          <w:sz w:val="32"/>
        </w:rPr>
        <w:sectPr w:rsidR="00E75493" w:rsidSect="00E75493">
          <w:pgSz w:w="12240" w:h="15840"/>
          <w:pgMar w:top="680" w:right="860" w:bottom="280" w:left="860" w:header="720" w:footer="720" w:gutter="0"/>
          <w:cols w:space="720"/>
        </w:sectPr>
      </w:pPr>
    </w:p>
    <w:p w14:paraId="10BFF45E" w14:textId="6661F63F" w:rsidR="00E75493" w:rsidRDefault="00E75493" w:rsidP="00E75493">
      <w:pPr>
        <w:pStyle w:val="BodyText"/>
        <w:spacing w:before="74"/>
        <w:ind w:left="120" w:right="177"/>
      </w:pPr>
      <w:r>
        <w:lastRenderedPageBreak/>
        <w:t>weakness noted is the lack of technical details of encrypting data streams between networks. This is a function that occurs daily and a limited understanding of ISR platform architecture and associated components increases new sensor integration timeframes and ability to meet security policy requirements; directly affecting the ability to meet operational timelines. This increases the risk of unsuccessful contract performance.</w:t>
      </w:r>
    </w:p>
    <w:p w14:paraId="2F0E7784" w14:textId="77777777" w:rsidR="00E75493" w:rsidRDefault="00E75493" w:rsidP="00E75493">
      <w:pPr>
        <w:pStyle w:val="BodyText"/>
        <w:spacing w:before="9"/>
        <w:rPr>
          <w:sz w:val="21"/>
        </w:rPr>
      </w:pPr>
    </w:p>
    <w:p w14:paraId="590BD3BA" w14:textId="77777777" w:rsidR="00E75493" w:rsidRDefault="00E75493" w:rsidP="00E75493">
      <w:pPr>
        <w:pStyle w:val="ListParagraph"/>
        <w:numPr>
          <w:ilvl w:val="0"/>
          <w:numId w:val="1"/>
        </w:numPr>
        <w:tabs>
          <w:tab w:val="left" w:pos="308"/>
        </w:tabs>
        <w:ind w:firstLine="0"/>
      </w:pPr>
      <w:r>
        <w:t>Deficiencies:</w:t>
      </w:r>
      <w:r>
        <w:rPr>
          <w:spacing w:val="-4"/>
        </w:rPr>
        <w:t xml:space="preserve"> </w:t>
      </w:r>
      <w:r>
        <w:t>None</w:t>
      </w:r>
    </w:p>
    <w:p w14:paraId="35C65911" w14:textId="77777777" w:rsidR="00E75493" w:rsidRDefault="00E75493" w:rsidP="00E75493">
      <w:pPr>
        <w:pStyle w:val="BodyText"/>
        <w:spacing w:before="11"/>
        <w:rPr>
          <w:sz w:val="21"/>
        </w:rPr>
      </w:pPr>
    </w:p>
    <w:p w14:paraId="1553BA7E" w14:textId="0746AC68" w:rsidR="00E75493" w:rsidRDefault="00E75493" w:rsidP="00E75493">
      <w:pPr>
        <w:pStyle w:val="BodyText"/>
        <w:ind w:left="120" w:right="182"/>
      </w:pPr>
      <w:r>
        <w:t>Criteria 2 (Score</w:t>
      </w:r>
      <w:proofErr w:type="gramStart"/>
      <w:r>
        <w:t>:</w:t>
      </w:r>
      <w:r w:rsidR="00AD4F3E">
        <w:t xml:space="preserve"> </w:t>
      </w:r>
      <w:r>
        <w:t>)</w:t>
      </w:r>
      <w:proofErr w:type="gramEnd"/>
      <w:r>
        <w:t xml:space="preserve">: </w:t>
      </w:r>
    </w:p>
    <w:p w14:paraId="48263B08" w14:textId="77777777" w:rsidR="00E75493" w:rsidRDefault="00E75493" w:rsidP="00E75493">
      <w:pPr>
        <w:pStyle w:val="BodyText"/>
        <w:spacing w:before="9"/>
        <w:rPr>
          <w:sz w:val="21"/>
        </w:rPr>
      </w:pPr>
    </w:p>
    <w:p w14:paraId="7DB371C7" w14:textId="1A415832" w:rsidR="00E75493" w:rsidRDefault="00E75493" w:rsidP="00E75493">
      <w:pPr>
        <w:pStyle w:val="ListParagraph"/>
        <w:numPr>
          <w:ilvl w:val="0"/>
          <w:numId w:val="1"/>
        </w:numPr>
        <w:tabs>
          <w:tab w:val="left" w:pos="308"/>
        </w:tabs>
        <w:ind w:left="307" w:hanging="187"/>
      </w:pPr>
      <w:r>
        <w:t>Strengths:</w:t>
      </w:r>
      <w:r>
        <w:rPr>
          <w:spacing w:val="52"/>
        </w:rPr>
        <w:t xml:space="preserve"> </w:t>
      </w:r>
    </w:p>
    <w:p w14:paraId="6820D142" w14:textId="77777777" w:rsidR="00E75493" w:rsidRDefault="00E75493" w:rsidP="00E75493">
      <w:pPr>
        <w:pStyle w:val="BodyText"/>
      </w:pPr>
    </w:p>
    <w:p w14:paraId="4E08B574" w14:textId="7924F7BF" w:rsidR="00E75493" w:rsidRDefault="00E75493" w:rsidP="00E75493">
      <w:pPr>
        <w:pStyle w:val="ListParagraph"/>
        <w:numPr>
          <w:ilvl w:val="0"/>
          <w:numId w:val="1"/>
        </w:numPr>
        <w:tabs>
          <w:tab w:val="left" w:pos="308"/>
        </w:tabs>
        <w:ind w:right="152" w:firstLine="0"/>
      </w:pPr>
      <w:r>
        <w:t>Weaknesses:</w:t>
      </w:r>
    </w:p>
    <w:p w14:paraId="3F26133C" w14:textId="77777777" w:rsidR="00E75493" w:rsidRDefault="00E75493" w:rsidP="00E75493">
      <w:pPr>
        <w:pStyle w:val="BodyText"/>
        <w:spacing w:before="9"/>
        <w:rPr>
          <w:sz w:val="21"/>
        </w:rPr>
      </w:pPr>
    </w:p>
    <w:p w14:paraId="32BCB472" w14:textId="061DFBB0" w:rsidR="00E75493" w:rsidRDefault="00E75493" w:rsidP="00E75493">
      <w:pPr>
        <w:pStyle w:val="ListParagraph"/>
        <w:numPr>
          <w:ilvl w:val="0"/>
          <w:numId w:val="1"/>
        </w:numPr>
        <w:tabs>
          <w:tab w:val="left" w:pos="308"/>
        </w:tabs>
        <w:ind w:right="148" w:firstLine="0"/>
      </w:pPr>
      <w:r>
        <w:t>Deficiencies:</w:t>
      </w:r>
    </w:p>
    <w:p w14:paraId="0C63567A" w14:textId="77777777" w:rsidR="00E75493" w:rsidRDefault="00E75493" w:rsidP="00E75493">
      <w:pPr>
        <w:pStyle w:val="BodyText"/>
        <w:spacing w:before="10"/>
        <w:rPr>
          <w:sz w:val="21"/>
        </w:rPr>
      </w:pPr>
    </w:p>
    <w:p w14:paraId="59F950B9" w14:textId="0F21E77F" w:rsidR="00E75493" w:rsidRDefault="00E75493" w:rsidP="00E75493">
      <w:pPr>
        <w:pStyle w:val="BodyText"/>
        <w:ind w:left="120"/>
      </w:pPr>
      <w:r>
        <w:rPr>
          <w:u w:val="single"/>
        </w:rPr>
        <w:t xml:space="preserve">Sub-Factor 2 – </w:t>
      </w:r>
      <w:r w:rsidR="00B8747B">
        <w:rPr>
          <w:u w:val="single"/>
        </w:rPr>
        <w:t>(Subfactor Title)</w:t>
      </w:r>
      <w:r>
        <w:rPr>
          <w:u w:val="single"/>
        </w:rPr>
        <w:t xml:space="preserve"> – Acceptable</w:t>
      </w:r>
      <w:r w:rsidR="00B8747B">
        <w:rPr>
          <w:u w:val="single"/>
        </w:rPr>
        <w:t>/Unacceptable</w:t>
      </w:r>
      <w:r>
        <w:rPr>
          <w:u w:val="single"/>
        </w:rPr>
        <w:t xml:space="preserve"> (</w:t>
      </w:r>
      <w:r w:rsidR="00CC0D92">
        <w:rPr>
          <w:u w:val="single"/>
        </w:rPr>
        <w:t>Score</w:t>
      </w:r>
      <w:r>
        <w:rPr>
          <w:u w:val="single"/>
        </w:rPr>
        <w:t>)</w:t>
      </w:r>
    </w:p>
    <w:p w14:paraId="4C9AB135" w14:textId="77777777" w:rsidR="00E75493" w:rsidRDefault="00E75493" w:rsidP="00E75493">
      <w:pPr>
        <w:pStyle w:val="BodyText"/>
        <w:rPr>
          <w:sz w:val="14"/>
        </w:rPr>
      </w:pPr>
    </w:p>
    <w:p w14:paraId="658D1C96" w14:textId="5D9A7F07" w:rsidR="00E75493" w:rsidRDefault="00E75493" w:rsidP="00E75493">
      <w:pPr>
        <w:pStyle w:val="BodyText"/>
        <w:spacing w:before="91"/>
        <w:ind w:left="120" w:right="110"/>
      </w:pPr>
      <w:r>
        <w:t>Criteria 1 (Score</w:t>
      </w:r>
      <w:proofErr w:type="gramStart"/>
      <w:r>
        <w:t>: )</w:t>
      </w:r>
      <w:proofErr w:type="gramEnd"/>
      <w:r>
        <w:t>:</w:t>
      </w:r>
      <w:r w:rsidR="00AD4F3E">
        <w:t xml:space="preserve"> </w:t>
      </w:r>
    </w:p>
    <w:p w14:paraId="718E9AA1" w14:textId="77777777" w:rsidR="00E75493" w:rsidRDefault="00E75493" w:rsidP="00E75493">
      <w:pPr>
        <w:pStyle w:val="BodyText"/>
        <w:spacing w:before="11"/>
        <w:rPr>
          <w:sz w:val="21"/>
        </w:rPr>
      </w:pPr>
    </w:p>
    <w:p w14:paraId="06CF0129" w14:textId="57E128BD" w:rsidR="00E75493" w:rsidRDefault="00E75493" w:rsidP="00E75493">
      <w:pPr>
        <w:pStyle w:val="ListParagraph"/>
        <w:numPr>
          <w:ilvl w:val="0"/>
          <w:numId w:val="1"/>
        </w:numPr>
        <w:tabs>
          <w:tab w:val="left" w:pos="308"/>
        </w:tabs>
        <w:ind w:left="307" w:hanging="187"/>
      </w:pPr>
      <w:r>
        <w:t>Strengths:</w:t>
      </w:r>
      <w:r>
        <w:rPr>
          <w:spacing w:val="52"/>
        </w:rPr>
        <w:t xml:space="preserve"> </w:t>
      </w:r>
    </w:p>
    <w:p w14:paraId="4E6C404F" w14:textId="77777777" w:rsidR="00E75493" w:rsidRDefault="00E75493" w:rsidP="00E75493">
      <w:pPr>
        <w:pStyle w:val="BodyText"/>
        <w:spacing w:before="9"/>
        <w:rPr>
          <w:sz w:val="21"/>
        </w:rPr>
      </w:pPr>
    </w:p>
    <w:p w14:paraId="29EBFC4E" w14:textId="2B6B5BF4" w:rsidR="00E75493" w:rsidRDefault="00E75493" w:rsidP="00E75493">
      <w:pPr>
        <w:pStyle w:val="ListParagraph"/>
        <w:numPr>
          <w:ilvl w:val="0"/>
          <w:numId w:val="1"/>
        </w:numPr>
        <w:tabs>
          <w:tab w:val="left" w:pos="308"/>
        </w:tabs>
        <w:ind w:right="378" w:firstLine="0"/>
      </w:pPr>
      <w:r>
        <w:t>Weaknesses:</w:t>
      </w:r>
    </w:p>
    <w:p w14:paraId="5D3AFB80" w14:textId="77777777" w:rsidR="00E75493" w:rsidRDefault="00E75493" w:rsidP="00E75493">
      <w:pPr>
        <w:pStyle w:val="BodyText"/>
      </w:pPr>
    </w:p>
    <w:p w14:paraId="3ACF3C0F" w14:textId="50B36972" w:rsidR="00E75493" w:rsidRDefault="00E75493" w:rsidP="00E75493">
      <w:pPr>
        <w:pStyle w:val="ListParagraph"/>
        <w:numPr>
          <w:ilvl w:val="0"/>
          <w:numId w:val="1"/>
        </w:numPr>
        <w:tabs>
          <w:tab w:val="left" w:pos="308"/>
        </w:tabs>
        <w:ind w:left="307" w:hanging="187"/>
      </w:pPr>
      <w:r>
        <w:t>Deficiencies:</w:t>
      </w:r>
      <w:r>
        <w:rPr>
          <w:spacing w:val="-4"/>
        </w:rPr>
        <w:t xml:space="preserve"> </w:t>
      </w:r>
    </w:p>
    <w:p w14:paraId="3B3FEE21" w14:textId="77777777" w:rsidR="00E75493" w:rsidRDefault="00E75493" w:rsidP="00E75493">
      <w:pPr>
        <w:pStyle w:val="BodyText"/>
        <w:spacing w:before="9"/>
        <w:rPr>
          <w:sz w:val="21"/>
        </w:rPr>
      </w:pPr>
    </w:p>
    <w:p w14:paraId="62B97DF8" w14:textId="597AD043" w:rsidR="00E75493" w:rsidRDefault="00E75493" w:rsidP="00AD4F3E">
      <w:pPr>
        <w:pStyle w:val="BodyText"/>
        <w:ind w:left="119" w:right="110"/>
      </w:pPr>
      <w:r>
        <w:t>Criteria 2 (Score</w:t>
      </w:r>
      <w:proofErr w:type="gramStart"/>
      <w:r>
        <w:t>:</w:t>
      </w:r>
      <w:r w:rsidR="00AD4F3E">
        <w:t xml:space="preserve"> </w:t>
      </w:r>
      <w:r>
        <w:t>)</w:t>
      </w:r>
      <w:proofErr w:type="gramEnd"/>
      <w:r>
        <w:t xml:space="preserve">:  </w:t>
      </w:r>
    </w:p>
    <w:p w14:paraId="01228BA8" w14:textId="77777777" w:rsidR="00E75493" w:rsidRDefault="00E75493" w:rsidP="00E75493">
      <w:pPr>
        <w:pStyle w:val="BodyText"/>
      </w:pPr>
    </w:p>
    <w:p w14:paraId="25546979" w14:textId="0DE11109" w:rsidR="00E75493" w:rsidRDefault="00E75493" w:rsidP="00E75493">
      <w:pPr>
        <w:pStyle w:val="ListParagraph"/>
        <w:numPr>
          <w:ilvl w:val="0"/>
          <w:numId w:val="1"/>
        </w:numPr>
        <w:tabs>
          <w:tab w:val="left" w:pos="308"/>
        </w:tabs>
        <w:ind w:right="158" w:firstLine="0"/>
      </w:pPr>
      <w:r>
        <w:t xml:space="preserve">Strengths: </w:t>
      </w:r>
    </w:p>
    <w:p w14:paraId="325F1EB3" w14:textId="77777777" w:rsidR="00E75493" w:rsidRDefault="00E75493" w:rsidP="00E75493">
      <w:pPr>
        <w:pStyle w:val="BodyText"/>
        <w:spacing w:before="11"/>
        <w:rPr>
          <w:sz w:val="21"/>
        </w:rPr>
      </w:pPr>
    </w:p>
    <w:p w14:paraId="062992E8" w14:textId="0E5738D9" w:rsidR="00E75493" w:rsidRDefault="00E75493" w:rsidP="00E75493">
      <w:pPr>
        <w:pStyle w:val="ListParagraph"/>
        <w:numPr>
          <w:ilvl w:val="0"/>
          <w:numId w:val="1"/>
        </w:numPr>
        <w:tabs>
          <w:tab w:val="left" w:pos="308"/>
        </w:tabs>
        <w:ind w:left="119" w:right="649" w:firstLine="1"/>
      </w:pPr>
      <w:r>
        <w:t xml:space="preserve">Weaknesses: </w:t>
      </w:r>
    </w:p>
    <w:p w14:paraId="03F59042" w14:textId="77777777" w:rsidR="00E75493" w:rsidRDefault="00E75493" w:rsidP="00E75493">
      <w:pPr>
        <w:pStyle w:val="BodyText"/>
      </w:pPr>
    </w:p>
    <w:p w14:paraId="7EABF81F" w14:textId="432CA79C" w:rsidR="00E75493" w:rsidRDefault="00E75493" w:rsidP="00E75493">
      <w:pPr>
        <w:pStyle w:val="ListParagraph"/>
        <w:numPr>
          <w:ilvl w:val="0"/>
          <w:numId w:val="1"/>
        </w:numPr>
        <w:tabs>
          <w:tab w:val="left" w:pos="307"/>
        </w:tabs>
        <w:ind w:left="306" w:hanging="187"/>
      </w:pPr>
      <w:r>
        <w:t>Deficiencies:</w:t>
      </w:r>
      <w:r>
        <w:rPr>
          <w:spacing w:val="-4"/>
        </w:rPr>
        <w:t xml:space="preserve"> </w:t>
      </w:r>
    </w:p>
    <w:p w14:paraId="265AB20A" w14:textId="77777777" w:rsidR="00E75493" w:rsidRDefault="00E75493" w:rsidP="00E75493">
      <w:pPr>
        <w:pStyle w:val="BodyText"/>
      </w:pPr>
    </w:p>
    <w:p w14:paraId="006CF3BE" w14:textId="34B250AE" w:rsidR="00E75493" w:rsidRDefault="00E75493" w:rsidP="00E75493">
      <w:pPr>
        <w:pStyle w:val="BodyText"/>
        <w:ind w:left="119" w:right="217"/>
      </w:pPr>
      <w:r>
        <w:t>Criteria 3 (Score</w:t>
      </w:r>
      <w:proofErr w:type="gramStart"/>
      <w:r>
        <w:t>: )</w:t>
      </w:r>
      <w:proofErr w:type="gramEnd"/>
      <w:r>
        <w:t xml:space="preserve">: </w:t>
      </w:r>
    </w:p>
    <w:p w14:paraId="6ECF65C9" w14:textId="77777777" w:rsidR="00E75493" w:rsidRDefault="00E75493" w:rsidP="00E75493">
      <w:pPr>
        <w:pStyle w:val="BodyText"/>
        <w:spacing w:before="9"/>
        <w:rPr>
          <w:sz w:val="21"/>
        </w:rPr>
      </w:pPr>
    </w:p>
    <w:p w14:paraId="2580BED7" w14:textId="2326F027" w:rsidR="00E75493" w:rsidRDefault="00E75493" w:rsidP="00E75493">
      <w:pPr>
        <w:pStyle w:val="ListParagraph"/>
        <w:numPr>
          <w:ilvl w:val="0"/>
          <w:numId w:val="1"/>
        </w:numPr>
        <w:tabs>
          <w:tab w:val="left" w:pos="307"/>
        </w:tabs>
        <w:ind w:left="306" w:hanging="187"/>
      </w:pPr>
      <w:r>
        <w:t>Strengths:</w:t>
      </w:r>
      <w:r>
        <w:rPr>
          <w:spacing w:val="52"/>
        </w:rPr>
        <w:t xml:space="preserve"> </w:t>
      </w:r>
    </w:p>
    <w:p w14:paraId="572615FF" w14:textId="77777777" w:rsidR="00E75493" w:rsidRDefault="00E75493" w:rsidP="00E75493">
      <w:pPr>
        <w:pStyle w:val="BodyText"/>
      </w:pPr>
    </w:p>
    <w:p w14:paraId="6B26B3F2" w14:textId="27D7D1E6" w:rsidR="00E75493" w:rsidRDefault="00E75493" w:rsidP="00E75493">
      <w:pPr>
        <w:pStyle w:val="ListParagraph"/>
        <w:numPr>
          <w:ilvl w:val="0"/>
          <w:numId w:val="1"/>
        </w:numPr>
        <w:tabs>
          <w:tab w:val="left" w:pos="307"/>
        </w:tabs>
        <w:ind w:left="119" w:right="483" w:firstLine="0"/>
      </w:pPr>
      <w:r>
        <w:t xml:space="preserve">Weaknesses: </w:t>
      </w:r>
    </w:p>
    <w:p w14:paraId="46D242B9" w14:textId="77777777" w:rsidR="00E75493" w:rsidRDefault="00E75493" w:rsidP="00E75493">
      <w:pPr>
        <w:pStyle w:val="BodyText"/>
        <w:spacing w:before="9"/>
        <w:rPr>
          <w:sz w:val="21"/>
        </w:rPr>
      </w:pPr>
    </w:p>
    <w:p w14:paraId="0B569E22" w14:textId="1D9C3435" w:rsidR="00E75493" w:rsidRDefault="00E75493" w:rsidP="00E75493">
      <w:pPr>
        <w:pStyle w:val="ListParagraph"/>
        <w:numPr>
          <w:ilvl w:val="0"/>
          <w:numId w:val="1"/>
        </w:numPr>
        <w:tabs>
          <w:tab w:val="left" w:pos="307"/>
        </w:tabs>
        <w:ind w:left="306" w:hanging="187"/>
      </w:pPr>
      <w:r>
        <w:t>Deficiencies:</w:t>
      </w:r>
      <w:r>
        <w:rPr>
          <w:spacing w:val="-4"/>
        </w:rPr>
        <w:t xml:space="preserve"> </w:t>
      </w:r>
    </w:p>
    <w:p w14:paraId="14FD398C" w14:textId="77777777" w:rsidR="00E75493" w:rsidRDefault="00E75493" w:rsidP="00E75493">
      <w:pPr>
        <w:pStyle w:val="BodyText"/>
        <w:spacing w:before="2"/>
      </w:pPr>
    </w:p>
    <w:p w14:paraId="19335072" w14:textId="5E1B089D" w:rsidR="00E75493" w:rsidRDefault="00E75493" w:rsidP="00E75493">
      <w:pPr>
        <w:pStyle w:val="Heading2"/>
        <w:ind w:left="0"/>
      </w:pPr>
      <w:commentRangeStart w:id="1"/>
      <w:r>
        <w:t>Factor 2 – Cost/Price</w:t>
      </w:r>
      <w:commentRangeEnd w:id="1"/>
      <w:r w:rsidR="00B8747B">
        <w:rPr>
          <w:rStyle w:val="CommentReference"/>
          <w:b w:val="0"/>
          <w:bCs w:val="0"/>
        </w:rPr>
        <w:commentReference w:id="1"/>
      </w:r>
      <w:r>
        <w:t xml:space="preserve">: </w:t>
      </w:r>
    </w:p>
    <w:p w14:paraId="60A1D717" w14:textId="77777777" w:rsidR="00E75493" w:rsidRDefault="00E75493" w:rsidP="00E75493">
      <w:pPr>
        <w:pStyle w:val="ListParagraph"/>
        <w:tabs>
          <w:tab w:val="left" w:pos="1980"/>
        </w:tabs>
        <w:ind w:left="0" w:right="144"/>
      </w:pPr>
    </w:p>
    <w:p w14:paraId="3BC5779B" w14:textId="77777777" w:rsidR="00E75493" w:rsidRDefault="00E75493" w:rsidP="00E75493">
      <w:pPr>
        <w:pStyle w:val="ListParagraph"/>
        <w:numPr>
          <w:ilvl w:val="0"/>
          <w:numId w:val="3"/>
        </w:numPr>
        <w:tabs>
          <w:tab w:val="left" w:pos="1980"/>
        </w:tabs>
        <w:ind w:left="180" w:right="144" w:hanging="180"/>
        <w:jc w:val="left"/>
      </w:pPr>
      <w:r w:rsidRPr="00E934A4">
        <w:t>The information provided in this letter is all of the information the Government can provide in a post- award debriefing as it encompasses the entire evaluation of your proposal. If you would like an oral post-award debriefing, please confirm the request in writing or through email</w:t>
      </w:r>
      <w:r>
        <w:rPr>
          <w:b/>
        </w:rPr>
        <w:t xml:space="preserve"> </w:t>
      </w:r>
      <w:r>
        <w:t xml:space="preserve">to this office </w:t>
      </w:r>
      <w:r>
        <w:rPr>
          <w:spacing w:val="-2"/>
        </w:rPr>
        <w:t>IAW</w:t>
      </w:r>
      <w:r>
        <w:rPr>
          <w:spacing w:val="-28"/>
        </w:rPr>
        <w:t xml:space="preserve"> </w:t>
      </w:r>
      <w:r>
        <w:t xml:space="preserve">FAR15.506 (a) (1). As an unsuccessful offeror, we will cover all areas allowed in FAR 15.505 and 15.506. Please note that in accordance with FAR 15.506(e), “The debriefing shall not include point-by-point comparisons of the debriefed offeror’s proposal with those of other offerors. Moreover, the debriefing shall not reveal any information prohibited for disclosure by 24.202 or exempt from release </w:t>
      </w:r>
      <w:r>
        <w:lastRenderedPageBreak/>
        <w:t>under the Freedom of Information Act.”</w:t>
      </w:r>
    </w:p>
    <w:p w14:paraId="218A3E84" w14:textId="77777777" w:rsidR="00E75493" w:rsidRDefault="00E75493" w:rsidP="00E75493">
      <w:pPr>
        <w:pStyle w:val="BodyText"/>
        <w:spacing w:before="1"/>
      </w:pPr>
    </w:p>
    <w:p w14:paraId="4F8D1330" w14:textId="77777777" w:rsidR="00E75493" w:rsidRDefault="00E75493" w:rsidP="00E75493">
      <w:pPr>
        <w:pStyle w:val="ListParagraph"/>
        <w:numPr>
          <w:ilvl w:val="0"/>
          <w:numId w:val="3"/>
        </w:numPr>
        <w:tabs>
          <w:tab w:val="left" w:pos="0"/>
        </w:tabs>
        <w:ind w:left="180" w:hanging="180"/>
        <w:jc w:val="left"/>
      </w:pPr>
      <w:r>
        <w:t>The time and effort expended in preparing this proposal are greatly appreciated. While your proposal was not selected for award under this requirement, future proposals will be requested for new requirements as they arise. If you have any questions or desire additional information, please contact me at</w:t>
      </w:r>
      <w:r w:rsidRPr="00E934A4">
        <w:rPr>
          <w:spacing w:val="-3"/>
        </w:rPr>
        <w:t xml:space="preserve"> </w:t>
      </w:r>
      <w:r w:rsidRPr="00E934A4">
        <w:rPr>
          <w:color w:val="0070C0"/>
          <w:u w:val="single"/>
        </w:rPr>
        <w:t>CO’S TELEPHONE#</w:t>
      </w:r>
      <w:r>
        <w:t>.</w:t>
      </w:r>
    </w:p>
    <w:p w14:paraId="7225EBFB" w14:textId="77777777" w:rsidR="00CC0D92" w:rsidRDefault="00CC0D92"/>
    <w:p w14:paraId="33DAEA54" w14:textId="77777777" w:rsidR="00E75493" w:rsidRDefault="00E75493">
      <w:r>
        <w:rPr>
          <w:noProof/>
        </w:rPr>
        <mc:AlternateContent>
          <mc:Choice Requires="wps">
            <w:drawing>
              <wp:anchor distT="0" distB="0" distL="114300" distR="114300" simplePos="0" relativeHeight="251660288" behindDoc="0" locked="0" layoutInCell="1" allowOverlap="1" wp14:anchorId="7F591B0A" wp14:editId="186F3F8D">
                <wp:simplePos x="0" y="0"/>
                <wp:positionH relativeFrom="column">
                  <wp:posOffset>3578316</wp:posOffset>
                </wp:positionH>
                <wp:positionV relativeFrom="paragraph">
                  <wp:posOffset>153030</wp:posOffset>
                </wp:positionV>
                <wp:extent cx="1395385" cy="338275"/>
                <wp:effectExtent l="0" t="0" r="14605" b="24130"/>
                <wp:wrapNone/>
                <wp:docPr id="2" name="Text Box 2"/>
                <wp:cNvGraphicFramePr/>
                <a:graphic xmlns:a="http://schemas.openxmlformats.org/drawingml/2006/main">
                  <a:graphicData uri="http://schemas.microsoft.com/office/word/2010/wordprocessingShape">
                    <wps:wsp>
                      <wps:cNvSpPr txBox="1"/>
                      <wps:spPr>
                        <a:xfrm>
                          <a:off x="0" y="0"/>
                          <a:ext cx="1395385" cy="338275"/>
                        </a:xfrm>
                        <a:prstGeom prst="rect">
                          <a:avLst/>
                        </a:prstGeom>
                        <a:solidFill>
                          <a:schemeClr val="lt1"/>
                        </a:solidFill>
                        <a:ln w="6350">
                          <a:solidFill>
                            <a:prstClr val="black"/>
                          </a:solidFill>
                        </a:ln>
                      </wps:spPr>
                      <wps:txbx>
                        <w:txbxContent>
                          <w:p w14:paraId="60BBD0BD" w14:textId="77777777" w:rsidR="00E75493" w:rsidRPr="00E75493" w:rsidRDefault="00E75493">
                            <w:pPr>
                              <w:rPr>
                                <w:color w:val="0070C0"/>
                                <w:u w:val="single"/>
                              </w:rPr>
                            </w:pPr>
                            <w:r w:rsidRPr="00E75493">
                              <w:rPr>
                                <w:color w:val="0070C0"/>
                                <w:u w:val="single"/>
                              </w:rPr>
                              <w:t xml:space="preserve">CO’S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91B0A" id="_x0000_t202" coordsize="21600,21600" o:spt="202" path="m,l,21600r21600,l21600,xe">
                <v:stroke joinstyle="miter"/>
                <v:path gradientshapeok="t" o:connecttype="rect"/>
              </v:shapetype>
              <v:shape id="Text Box 2" o:spid="_x0000_s1026" type="#_x0000_t202" style="position:absolute;margin-left:281.75pt;margin-top:12.05pt;width:109.8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" fillcolor="white [3201]" strokeweight=".5pt">
                <v:textbox>
                  <w:txbxContent>
                    <w:p w14:paraId="60BBD0BD" w14:textId="77777777" w:rsidR="00E75493" w:rsidRPr="00E75493" w:rsidRDefault="00E75493">
                      <w:pPr>
                        <w:rPr>
                          <w:color w:val="0070C0"/>
                          <w:u w:val="single"/>
                        </w:rPr>
                      </w:pPr>
                      <w:r w:rsidRPr="00E75493">
                        <w:rPr>
                          <w:color w:val="0070C0"/>
                          <w:u w:val="single"/>
                        </w:rPr>
                        <w:t xml:space="preserve">CO’S SIGNATURE </w:t>
                      </w:r>
                    </w:p>
                  </w:txbxContent>
                </v:textbox>
              </v:shape>
            </w:pict>
          </mc:Fallback>
        </mc:AlternateContent>
      </w:r>
    </w:p>
    <w:p w14:paraId="2043D6BA" w14:textId="77777777" w:rsidR="00E75493" w:rsidRDefault="00E75493"/>
    <w:sectPr w:rsidR="00E754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Y, TIFFANY L NH-04 DAF PEO Services" w:date="2024-07-18T09:08:00Z" w:initials="TLB">
    <w:p w14:paraId="43409A0C" w14:textId="77777777" w:rsidR="00AD4F3E" w:rsidRDefault="00AD4F3E" w:rsidP="00AD4F3E">
      <w:pPr>
        <w:pStyle w:val="CommentText"/>
      </w:pPr>
      <w:r>
        <w:rPr>
          <w:rStyle w:val="CommentReference"/>
        </w:rPr>
        <w:annotationRef/>
      </w:r>
      <w:r>
        <w:t>This is an example of what a team might input here; please tailor to meet the needs of the document.</w:t>
      </w:r>
    </w:p>
  </w:comment>
  <w:comment w:id="1" w:author="BRAY, TIFFANY L NH-04 DAF PEO Services" w:date="2024-07-18T09:10:00Z" w:initials="TLB">
    <w:p w14:paraId="73A008F0" w14:textId="77777777" w:rsidR="00B8747B" w:rsidRDefault="00B8747B" w:rsidP="00B8747B">
      <w:pPr>
        <w:pStyle w:val="CommentText"/>
      </w:pPr>
      <w:r>
        <w:rPr>
          <w:rStyle w:val="CommentReference"/>
        </w:rPr>
        <w:annotationRef/>
      </w:r>
      <w:r>
        <w:t>Use similar format for other factors.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09A0C" w15:done="0"/>
  <w15:commentEx w15:paraId="73A00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5A06" w16cex:dateUtc="2024-07-18T13:08:00Z"/>
  <w16cex:commentExtensible w16cex:durableId="2A435A8A" w16cex:dateUtc="2024-07-18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09A0C" w16cid:durableId="2A435A06"/>
  <w16cid:commentId w16cid:paraId="73A008F0" w16cid:durableId="2A435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B87E" w14:textId="77777777" w:rsidR="009014F2" w:rsidRDefault="009014F2" w:rsidP="009014F2">
      <w:r>
        <w:separator/>
      </w:r>
    </w:p>
  </w:endnote>
  <w:endnote w:type="continuationSeparator" w:id="0">
    <w:p w14:paraId="3795E16D" w14:textId="77777777" w:rsidR="009014F2" w:rsidRDefault="009014F2" w:rsidP="0090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A773" w14:textId="77777777" w:rsidR="009014F2" w:rsidRDefault="009014F2" w:rsidP="009014F2">
      <w:r>
        <w:separator/>
      </w:r>
    </w:p>
  </w:footnote>
  <w:footnote w:type="continuationSeparator" w:id="0">
    <w:p w14:paraId="00849CBF" w14:textId="77777777" w:rsidR="009014F2" w:rsidRDefault="009014F2" w:rsidP="0090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A0C"/>
    <w:multiLevelType w:val="hybridMultilevel"/>
    <w:tmpl w:val="ED187A50"/>
    <w:lvl w:ilvl="0" w:tplc="DC9836AA">
      <w:start w:val="1"/>
      <w:numFmt w:val="decimal"/>
      <w:lvlText w:val="%1."/>
      <w:lvlJc w:val="left"/>
      <w:pPr>
        <w:ind w:left="580" w:hanging="276"/>
        <w:jc w:val="right"/>
      </w:pPr>
      <w:rPr>
        <w:rFonts w:ascii="Times New Roman" w:eastAsia="Times New Roman" w:hAnsi="Times New Roman" w:cs="Times New Roman" w:hint="default"/>
        <w:w w:val="100"/>
        <w:sz w:val="22"/>
        <w:szCs w:val="22"/>
      </w:rPr>
    </w:lvl>
    <w:lvl w:ilvl="1" w:tplc="61C2A71C">
      <w:numFmt w:val="bullet"/>
      <w:lvlText w:val="•"/>
      <w:lvlJc w:val="left"/>
      <w:pPr>
        <w:ind w:left="1574" w:hanging="276"/>
      </w:pPr>
      <w:rPr>
        <w:rFonts w:hint="default"/>
      </w:rPr>
    </w:lvl>
    <w:lvl w:ilvl="2" w:tplc="730CF85C">
      <w:numFmt w:val="bullet"/>
      <w:lvlText w:val="•"/>
      <w:lvlJc w:val="left"/>
      <w:pPr>
        <w:ind w:left="2568" w:hanging="276"/>
      </w:pPr>
      <w:rPr>
        <w:rFonts w:hint="default"/>
      </w:rPr>
    </w:lvl>
    <w:lvl w:ilvl="3" w:tplc="A4002476">
      <w:numFmt w:val="bullet"/>
      <w:lvlText w:val="•"/>
      <w:lvlJc w:val="left"/>
      <w:pPr>
        <w:ind w:left="3562" w:hanging="276"/>
      </w:pPr>
      <w:rPr>
        <w:rFonts w:hint="default"/>
      </w:rPr>
    </w:lvl>
    <w:lvl w:ilvl="4" w:tplc="1C2883E0">
      <w:numFmt w:val="bullet"/>
      <w:lvlText w:val="•"/>
      <w:lvlJc w:val="left"/>
      <w:pPr>
        <w:ind w:left="4556" w:hanging="276"/>
      </w:pPr>
      <w:rPr>
        <w:rFonts w:hint="default"/>
      </w:rPr>
    </w:lvl>
    <w:lvl w:ilvl="5" w:tplc="AFF4AB72">
      <w:numFmt w:val="bullet"/>
      <w:lvlText w:val="•"/>
      <w:lvlJc w:val="left"/>
      <w:pPr>
        <w:ind w:left="5550" w:hanging="276"/>
      </w:pPr>
      <w:rPr>
        <w:rFonts w:hint="default"/>
      </w:rPr>
    </w:lvl>
    <w:lvl w:ilvl="6" w:tplc="CA00E542">
      <w:numFmt w:val="bullet"/>
      <w:lvlText w:val="•"/>
      <w:lvlJc w:val="left"/>
      <w:pPr>
        <w:ind w:left="6544" w:hanging="276"/>
      </w:pPr>
      <w:rPr>
        <w:rFonts w:hint="default"/>
      </w:rPr>
    </w:lvl>
    <w:lvl w:ilvl="7" w:tplc="B582C206">
      <w:numFmt w:val="bullet"/>
      <w:lvlText w:val="•"/>
      <w:lvlJc w:val="left"/>
      <w:pPr>
        <w:ind w:left="7538" w:hanging="276"/>
      </w:pPr>
      <w:rPr>
        <w:rFonts w:hint="default"/>
      </w:rPr>
    </w:lvl>
    <w:lvl w:ilvl="8" w:tplc="DFFC7598">
      <w:numFmt w:val="bullet"/>
      <w:lvlText w:val="•"/>
      <w:lvlJc w:val="left"/>
      <w:pPr>
        <w:ind w:left="8532" w:hanging="276"/>
      </w:pPr>
      <w:rPr>
        <w:rFonts w:hint="default"/>
      </w:rPr>
    </w:lvl>
  </w:abstractNum>
  <w:abstractNum w:abstractNumId="1" w15:restartNumberingAfterBreak="0">
    <w:nsid w:val="427D783D"/>
    <w:multiLevelType w:val="hybridMultilevel"/>
    <w:tmpl w:val="2744BE9C"/>
    <w:lvl w:ilvl="0" w:tplc="EC2A9CC4">
      <w:numFmt w:val="bullet"/>
      <w:lvlText w:val="•"/>
      <w:lvlJc w:val="left"/>
      <w:pPr>
        <w:ind w:left="579" w:hanging="188"/>
      </w:pPr>
      <w:rPr>
        <w:rFonts w:ascii="Times New Roman" w:eastAsia="Times New Roman" w:hAnsi="Times New Roman" w:cs="Times New Roman" w:hint="default"/>
        <w:w w:val="100"/>
        <w:sz w:val="22"/>
        <w:szCs w:val="22"/>
      </w:rPr>
    </w:lvl>
    <w:lvl w:ilvl="1" w:tplc="B67645EE">
      <w:numFmt w:val="bullet"/>
      <w:lvlText w:val="•"/>
      <w:lvlJc w:val="left"/>
      <w:pPr>
        <w:ind w:left="1574" w:hanging="188"/>
      </w:pPr>
      <w:rPr>
        <w:rFonts w:hint="default"/>
      </w:rPr>
    </w:lvl>
    <w:lvl w:ilvl="2" w:tplc="0AF0EED2">
      <w:numFmt w:val="bullet"/>
      <w:lvlText w:val="•"/>
      <w:lvlJc w:val="left"/>
      <w:pPr>
        <w:ind w:left="2568" w:hanging="188"/>
      </w:pPr>
      <w:rPr>
        <w:rFonts w:hint="default"/>
      </w:rPr>
    </w:lvl>
    <w:lvl w:ilvl="3" w:tplc="B3E6F91E">
      <w:numFmt w:val="bullet"/>
      <w:lvlText w:val="•"/>
      <w:lvlJc w:val="left"/>
      <w:pPr>
        <w:ind w:left="3562" w:hanging="188"/>
      </w:pPr>
      <w:rPr>
        <w:rFonts w:hint="default"/>
      </w:rPr>
    </w:lvl>
    <w:lvl w:ilvl="4" w:tplc="77DE12E6">
      <w:numFmt w:val="bullet"/>
      <w:lvlText w:val="•"/>
      <w:lvlJc w:val="left"/>
      <w:pPr>
        <w:ind w:left="4556" w:hanging="188"/>
      </w:pPr>
      <w:rPr>
        <w:rFonts w:hint="default"/>
      </w:rPr>
    </w:lvl>
    <w:lvl w:ilvl="5" w:tplc="561E36EC">
      <w:numFmt w:val="bullet"/>
      <w:lvlText w:val="•"/>
      <w:lvlJc w:val="left"/>
      <w:pPr>
        <w:ind w:left="5550" w:hanging="188"/>
      </w:pPr>
      <w:rPr>
        <w:rFonts w:hint="default"/>
      </w:rPr>
    </w:lvl>
    <w:lvl w:ilvl="6" w:tplc="82B4A24A">
      <w:numFmt w:val="bullet"/>
      <w:lvlText w:val="•"/>
      <w:lvlJc w:val="left"/>
      <w:pPr>
        <w:ind w:left="6544" w:hanging="188"/>
      </w:pPr>
      <w:rPr>
        <w:rFonts w:hint="default"/>
      </w:rPr>
    </w:lvl>
    <w:lvl w:ilvl="7" w:tplc="6E88B532">
      <w:numFmt w:val="bullet"/>
      <w:lvlText w:val="•"/>
      <w:lvlJc w:val="left"/>
      <w:pPr>
        <w:ind w:left="7538" w:hanging="188"/>
      </w:pPr>
      <w:rPr>
        <w:rFonts w:hint="default"/>
      </w:rPr>
    </w:lvl>
    <w:lvl w:ilvl="8" w:tplc="CFC69CDC">
      <w:numFmt w:val="bullet"/>
      <w:lvlText w:val="•"/>
      <w:lvlJc w:val="left"/>
      <w:pPr>
        <w:ind w:left="8532" w:hanging="188"/>
      </w:pPr>
      <w:rPr>
        <w:rFonts w:hint="default"/>
      </w:rPr>
    </w:lvl>
  </w:abstractNum>
  <w:abstractNum w:abstractNumId="2" w15:restartNumberingAfterBreak="0">
    <w:nsid w:val="4E875DC8"/>
    <w:multiLevelType w:val="hybridMultilevel"/>
    <w:tmpl w:val="11B80684"/>
    <w:lvl w:ilvl="0" w:tplc="3AA2B162">
      <w:numFmt w:val="bullet"/>
      <w:lvlText w:val="•"/>
      <w:lvlJc w:val="left"/>
      <w:pPr>
        <w:ind w:left="120" w:hanging="188"/>
      </w:pPr>
      <w:rPr>
        <w:rFonts w:ascii="Times New Roman" w:eastAsia="Times New Roman" w:hAnsi="Times New Roman" w:cs="Times New Roman" w:hint="default"/>
        <w:w w:val="100"/>
        <w:sz w:val="22"/>
        <w:szCs w:val="22"/>
      </w:rPr>
    </w:lvl>
    <w:lvl w:ilvl="1" w:tplc="6CB4A02A">
      <w:numFmt w:val="bullet"/>
      <w:lvlText w:val="•"/>
      <w:lvlJc w:val="left"/>
      <w:pPr>
        <w:ind w:left="1064" w:hanging="188"/>
      </w:pPr>
      <w:rPr>
        <w:rFonts w:hint="default"/>
      </w:rPr>
    </w:lvl>
    <w:lvl w:ilvl="2" w:tplc="D25A6DF8">
      <w:numFmt w:val="bullet"/>
      <w:lvlText w:val="•"/>
      <w:lvlJc w:val="left"/>
      <w:pPr>
        <w:ind w:left="2008" w:hanging="188"/>
      </w:pPr>
      <w:rPr>
        <w:rFonts w:hint="default"/>
      </w:rPr>
    </w:lvl>
    <w:lvl w:ilvl="3" w:tplc="4D9CA860">
      <w:numFmt w:val="bullet"/>
      <w:lvlText w:val="•"/>
      <w:lvlJc w:val="left"/>
      <w:pPr>
        <w:ind w:left="2952" w:hanging="188"/>
      </w:pPr>
      <w:rPr>
        <w:rFonts w:hint="default"/>
      </w:rPr>
    </w:lvl>
    <w:lvl w:ilvl="4" w:tplc="FB7EBD32">
      <w:numFmt w:val="bullet"/>
      <w:lvlText w:val="•"/>
      <w:lvlJc w:val="left"/>
      <w:pPr>
        <w:ind w:left="3896" w:hanging="188"/>
      </w:pPr>
      <w:rPr>
        <w:rFonts w:hint="default"/>
      </w:rPr>
    </w:lvl>
    <w:lvl w:ilvl="5" w:tplc="9C20F0D2">
      <w:numFmt w:val="bullet"/>
      <w:lvlText w:val="•"/>
      <w:lvlJc w:val="left"/>
      <w:pPr>
        <w:ind w:left="4840" w:hanging="188"/>
      </w:pPr>
      <w:rPr>
        <w:rFonts w:hint="default"/>
      </w:rPr>
    </w:lvl>
    <w:lvl w:ilvl="6" w:tplc="6444248E">
      <w:numFmt w:val="bullet"/>
      <w:lvlText w:val="•"/>
      <w:lvlJc w:val="left"/>
      <w:pPr>
        <w:ind w:left="5784" w:hanging="188"/>
      </w:pPr>
      <w:rPr>
        <w:rFonts w:hint="default"/>
      </w:rPr>
    </w:lvl>
    <w:lvl w:ilvl="7" w:tplc="AAE2340E">
      <w:numFmt w:val="bullet"/>
      <w:lvlText w:val="•"/>
      <w:lvlJc w:val="left"/>
      <w:pPr>
        <w:ind w:left="6728" w:hanging="188"/>
      </w:pPr>
      <w:rPr>
        <w:rFonts w:hint="default"/>
      </w:rPr>
    </w:lvl>
    <w:lvl w:ilvl="8" w:tplc="8318D3CA">
      <w:numFmt w:val="bullet"/>
      <w:lvlText w:val="•"/>
      <w:lvlJc w:val="left"/>
      <w:pPr>
        <w:ind w:left="7672" w:hanging="188"/>
      </w:pPr>
      <w:rPr>
        <w:rFonts w:hint="default"/>
      </w:rPr>
    </w:lvl>
  </w:abstractNum>
  <w:num w:numId="1" w16cid:durableId="407849530">
    <w:abstractNumId w:val="2"/>
  </w:num>
  <w:num w:numId="2" w16cid:durableId="92172586">
    <w:abstractNumId w:val="1"/>
  </w:num>
  <w:num w:numId="3" w16cid:durableId="8267033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Y, TIFFANY L NH-04 DAF PEO Services">
    <w15:presenceInfo w15:providerId="None" w15:userId="BRAY, TIFFANY L NH-04 DAF PEO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93"/>
    <w:rsid w:val="00011C39"/>
    <w:rsid w:val="000A241E"/>
    <w:rsid w:val="00102F5F"/>
    <w:rsid w:val="00204639"/>
    <w:rsid w:val="00593990"/>
    <w:rsid w:val="005A720B"/>
    <w:rsid w:val="007B667F"/>
    <w:rsid w:val="009014F2"/>
    <w:rsid w:val="00AD4F3E"/>
    <w:rsid w:val="00B8747B"/>
    <w:rsid w:val="00CC0D92"/>
    <w:rsid w:val="00DB4BA5"/>
    <w:rsid w:val="00E20678"/>
    <w:rsid w:val="00E7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D27E"/>
  <w15:chartTrackingRefBased/>
  <w15:docId w15:val="{C7279112-B5CB-4B77-B714-5E7D6067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5493"/>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E75493"/>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75493"/>
    <w:rPr>
      <w:rFonts w:ascii="Times New Roman" w:eastAsia="Times New Roman" w:hAnsi="Times New Roman" w:cs="Times New Roman"/>
      <w:b/>
      <w:bCs/>
    </w:rPr>
  </w:style>
  <w:style w:type="paragraph" w:styleId="BodyText">
    <w:name w:val="Body Text"/>
    <w:basedOn w:val="Normal"/>
    <w:link w:val="BodyTextChar"/>
    <w:uiPriority w:val="1"/>
    <w:qFormat/>
    <w:rsid w:val="00E75493"/>
  </w:style>
  <w:style w:type="character" w:customStyle="1" w:styleId="BodyTextChar">
    <w:name w:val="Body Text Char"/>
    <w:basedOn w:val="DefaultParagraphFont"/>
    <w:link w:val="BodyText"/>
    <w:uiPriority w:val="1"/>
    <w:rsid w:val="00E75493"/>
    <w:rPr>
      <w:rFonts w:ascii="Times New Roman" w:eastAsia="Times New Roman" w:hAnsi="Times New Roman" w:cs="Times New Roman"/>
    </w:rPr>
  </w:style>
  <w:style w:type="paragraph" w:styleId="ListParagraph">
    <w:name w:val="List Paragraph"/>
    <w:basedOn w:val="Normal"/>
    <w:uiPriority w:val="1"/>
    <w:qFormat/>
    <w:rsid w:val="00E75493"/>
    <w:pPr>
      <w:ind w:left="120"/>
    </w:pPr>
  </w:style>
  <w:style w:type="paragraph" w:customStyle="1" w:styleId="TableParagraph">
    <w:name w:val="Table Paragraph"/>
    <w:basedOn w:val="Normal"/>
    <w:uiPriority w:val="1"/>
    <w:qFormat/>
    <w:rsid w:val="00E75493"/>
    <w:pPr>
      <w:spacing w:before="8"/>
      <w:jc w:val="center"/>
    </w:pPr>
  </w:style>
  <w:style w:type="paragraph" w:styleId="Header">
    <w:name w:val="header"/>
    <w:basedOn w:val="Normal"/>
    <w:link w:val="HeaderChar"/>
    <w:uiPriority w:val="99"/>
    <w:unhideWhenUsed/>
    <w:rsid w:val="009014F2"/>
    <w:pPr>
      <w:tabs>
        <w:tab w:val="center" w:pos="4680"/>
        <w:tab w:val="right" w:pos="9360"/>
      </w:tabs>
    </w:pPr>
  </w:style>
  <w:style w:type="character" w:customStyle="1" w:styleId="HeaderChar">
    <w:name w:val="Header Char"/>
    <w:basedOn w:val="DefaultParagraphFont"/>
    <w:link w:val="Header"/>
    <w:uiPriority w:val="99"/>
    <w:rsid w:val="009014F2"/>
    <w:rPr>
      <w:rFonts w:ascii="Times New Roman" w:eastAsia="Times New Roman" w:hAnsi="Times New Roman" w:cs="Times New Roman"/>
    </w:rPr>
  </w:style>
  <w:style w:type="paragraph" w:styleId="Footer">
    <w:name w:val="footer"/>
    <w:basedOn w:val="Normal"/>
    <w:link w:val="FooterChar"/>
    <w:uiPriority w:val="99"/>
    <w:unhideWhenUsed/>
    <w:rsid w:val="009014F2"/>
    <w:pPr>
      <w:tabs>
        <w:tab w:val="center" w:pos="4680"/>
        <w:tab w:val="right" w:pos="9360"/>
      </w:tabs>
    </w:pPr>
  </w:style>
  <w:style w:type="character" w:customStyle="1" w:styleId="FooterChar">
    <w:name w:val="Footer Char"/>
    <w:basedOn w:val="DefaultParagraphFont"/>
    <w:link w:val="Footer"/>
    <w:uiPriority w:val="99"/>
    <w:rsid w:val="009014F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D4F3E"/>
    <w:rPr>
      <w:sz w:val="16"/>
      <w:szCs w:val="16"/>
    </w:rPr>
  </w:style>
  <w:style w:type="paragraph" w:styleId="CommentText">
    <w:name w:val="annotation text"/>
    <w:basedOn w:val="Normal"/>
    <w:link w:val="CommentTextChar"/>
    <w:uiPriority w:val="99"/>
    <w:unhideWhenUsed/>
    <w:rsid w:val="00AD4F3E"/>
    <w:rPr>
      <w:sz w:val="20"/>
      <w:szCs w:val="20"/>
    </w:rPr>
  </w:style>
  <w:style w:type="character" w:customStyle="1" w:styleId="CommentTextChar">
    <w:name w:val="Comment Text Char"/>
    <w:basedOn w:val="DefaultParagraphFont"/>
    <w:link w:val="CommentText"/>
    <w:uiPriority w:val="99"/>
    <w:rsid w:val="00AD4F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F3E"/>
    <w:rPr>
      <w:b/>
      <w:bCs/>
    </w:rPr>
  </w:style>
  <w:style w:type="character" w:customStyle="1" w:styleId="CommentSubjectChar">
    <w:name w:val="Comment Subject Char"/>
    <w:basedOn w:val="CommentTextChar"/>
    <w:link w:val="CommentSubject"/>
    <w:uiPriority w:val="99"/>
    <w:semiHidden/>
    <w:rsid w:val="00AD4F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E9363F09A7049ADEBC8AD0D1F919E" ma:contentTypeVersion="4" ma:contentTypeDescription="Create a new document." ma:contentTypeScope="" ma:versionID="1830b17b0718a692118d3dce8ad50769">
  <xsd:schema xmlns:xsd="http://www.w3.org/2001/XMLSchema" xmlns:xs="http://www.w3.org/2001/XMLSchema" xmlns:p="http://schemas.microsoft.com/office/2006/metadata/properties" xmlns:ns2="2b56e916-09f5-4e91-b1c7-b58216f528ff" targetNamespace="http://schemas.microsoft.com/office/2006/metadata/properties" ma:root="true" ma:fieldsID="108a85266a403170377fef970eab5b2a" ns2:_="">
    <xsd:import namespace="2b56e916-09f5-4e91-b1c7-b58216f52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6e916-09f5-4e91-b1c7-b58216f52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BF09B-675F-40C4-9E93-68982523E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CA50F-E123-4EEA-A832-56C385A94B61}">
  <ds:schemaRefs>
    <ds:schemaRef ds:uri="http://schemas.microsoft.com/sharepoint/v3/contenttype/forms"/>
  </ds:schemaRefs>
</ds:datastoreItem>
</file>

<file path=customXml/itemProps3.xml><?xml version="1.0" encoding="utf-8"?>
<ds:datastoreItem xmlns:ds="http://schemas.openxmlformats.org/officeDocument/2006/customXml" ds:itemID="{E6234FF5-F9C6-4B19-94DA-96027CE1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6e916-09f5-4e91-b1c7-b58216f52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CHERONNE, WILSON R CIV USAF ACC ACC AMIC/DRJ</dc:creator>
  <cp:keywords/>
  <dc:description/>
  <cp:lastModifiedBy>BRAY, TIFFANY L NH-04 DAF PEO Services</cp:lastModifiedBy>
  <cp:revision>11</cp:revision>
  <dcterms:created xsi:type="dcterms:W3CDTF">2019-04-19T16:01:00Z</dcterms:created>
  <dcterms:modified xsi:type="dcterms:W3CDTF">2024-07-18T13:11:00Z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0x010100E02E9363F09A7049ADEBC8AD0D1F919E</vt:lpwstr>
  </property>
  <property fmtid="{D5CDD505-2E9C-101B-9397-08002B2CF9AE}" pid="3" name="Order">
    <vt:r8>33700</vt:r8>
  </property>
</Properties>
</file>